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hd w:val="clear" w:color="auto" w:fill="FFFFFF" w:themeFill="background1"/>
        <w:autoSpaceDE w:val="0"/>
        <w:autoSpaceDN w:val="0"/>
        <w:adjustRightInd w:val="0"/>
        <w:spacing w:before="69" w:after="0" w:line="258" w:lineRule="auto"/>
        <w:ind w:right="-29"/>
        <w:jc w:val="center"/>
        <w:rPr>
          <w:rFonts w:ascii="Garamond" w:hAnsi="Garamond" w:cs="Arial"/>
          <w:b/>
          <w:bCs/>
          <w:sz w:val="28"/>
          <w:szCs w:val="28"/>
          <w:lang w:val="fr-FR"/>
        </w:rPr>
      </w:pPr>
      <w:r>
        <w:rPr>
          <w:rFonts w:ascii="Garamond" w:hAnsi="Garamond" w:cs="Arial"/>
          <w:b/>
          <w:bCs/>
          <w:noProof/>
          <w:sz w:val="28"/>
          <w:szCs w:val="28"/>
          <w:lang w:eastAsia="ca-ES"/>
        </w:rPr>
        <w:drawing>
          <wp:inline distT="0" distB="0" distL="0" distR="0">
            <wp:extent cx="1924050" cy="844550"/>
            <wp:effectExtent l="0" t="0" r="0" b="0"/>
            <wp:docPr id="1" name="Imagen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before="69" w:after="0" w:line="258" w:lineRule="auto"/>
        <w:ind w:right="-29"/>
        <w:jc w:val="center"/>
        <w:rPr>
          <w:rFonts w:ascii="Garamond" w:hAnsi="Garamond" w:cs="Arial"/>
          <w:b/>
          <w:bCs/>
          <w:sz w:val="28"/>
          <w:szCs w:val="28"/>
          <w:lang w:val="fr-FR"/>
        </w:rPr>
      </w:pPr>
      <w:r>
        <w:rPr>
          <w:rFonts w:ascii="Garamond" w:hAnsi="Garamond" w:cs="Arial"/>
          <w:b/>
          <w:bCs/>
          <w:sz w:val="28"/>
          <w:szCs w:val="28"/>
          <w:lang w:val="fr-FR"/>
        </w:rPr>
        <w:t>Section Andorre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before="69" w:after="0" w:line="258" w:lineRule="auto"/>
        <w:ind w:right="-29"/>
        <w:jc w:val="center"/>
        <w:rPr>
          <w:rFonts w:ascii="Garamond" w:hAnsi="Garamond" w:cs="Arial"/>
          <w:b/>
          <w:bCs/>
          <w:sz w:val="28"/>
          <w:szCs w:val="28"/>
          <w:lang w:val="fr-BE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before="69" w:after="0" w:line="258" w:lineRule="auto"/>
        <w:ind w:right="-29"/>
        <w:jc w:val="center"/>
        <w:rPr>
          <w:rFonts w:ascii="Garamond" w:hAnsi="Garamond" w:cs="Arial"/>
          <w:b/>
          <w:bCs/>
          <w:sz w:val="28"/>
          <w:szCs w:val="28"/>
          <w:lang w:val="fr-BE"/>
        </w:rPr>
      </w:pPr>
    </w:p>
    <w:p>
      <w:pPr>
        <w:widowControl w:val="0"/>
        <w:shd w:val="clear" w:color="auto" w:fill="D6E3BC"/>
        <w:autoSpaceDE w:val="0"/>
        <w:autoSpaceDN w:val="0"/>
        <w:adjustRightInd w:val="0"/>
        <w:spacing w:before="69" w:after="0" w:line="258" w:lineRule="auto"/>
        <w:ind w:right="-29"/>
        <w:jc w:val="center"/>
        <w:rPr>
          <w:rFonts w:ascii="Garamond" w:hAnsi="Garamond" w:cs="Arial"/>
          <w:b/>
          <w:bCs/>
          <w:spacing w:val="-2"/>
          <w:sz w:val="28"/>
          <w:szCs w:val="28"/>
          <w:lang w:val="fr-BE"/>
        </w:rPr>
      </w:pPr>
      <w:r>
        <w:rPr>
          <w:rFonts w:ascii="Garamond" w:hAnsi="Garamond" w:cs="Arial"/>
          <w:b/>
          <w:bCs/>
          <w:spacing w:val="-2"/>
          <w:sz w:val="28"/>
          <w:szCs w:val="28"/>
          <w:lang w:val="fr-BE"/>
        </w:rPr>
        <w:t>La lutte contre le terrorisme</w:t>
      </w:r>
    </w:p>
    <w:p>
      <w:pPr>
        <w:widowControl w:val="0"/>
        <w:shd w:val="clear" w:color="auto" w:fill="D6E3BC"/>
        <w:autoSpaceDE w:val="0"/>
        <w:autoSpaceDN w:val="0"/>
        <w:adjustRightInd w:val="0"/>
        <w:spacing w:before="69" w:after="0" w:line="258" w:lineRule="auto"/>
        <w:ind w:right="-29"/>
        <w:jc w:val="center"/>
        <w:rPr>
          <w:rFonts w:ascii="Garamond" w:hAnsi="Garamond" w:cs="Arial"/>
          <w:sz w:val="28"/>
          <w:szCs w:val="28"/>
          <w:lang w:val="fr-B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  <w:r>
        <w:rPr>
          <w:rFonts w:ascii="Garamond" w:hAnsi="Garamond" w:cs="Arial"/>
          <w:sz w:val="28"/>
          <w:szCs w:val="28"/>
          <w:lang w:val="fr-BE"/>
        </w:rPr>
        <w:t>Si bien le financement du terrorisme a un risque faible en Andorre, dès 2008 les autorités andorranes ont pris plusieurs mesures concrètes afin de remédier à des lacunes législatives détectées et mettre</w:t>
      </w:r>
      <w:r>
        <w:rPr>
          <w:rFonts w:ascii="Garamond" w:hAnsi="Garamond"/>
          <w:sz w:val="28"/>
          <w:szCs w:val="28"/>
          <w:lang w:val="fr-FR"/>
        </w:rPr>
        <w:t xml:space="preserve"> en place un système efficace de lutte contre le blanchiment </w:t>
      </w:r>
      <w:r>
        <w:rPr>
          <w:rFonts w:ascii="Garamond" w:hAnsi="Garamond" w:cs="Arial"/>
          <w:sz w:val="28"/>
          <w:szCs w:val="28"/>
          <w:lang w:val="fr-BE"/>
        </w:rPr>
        <w:t xml:space="preserve">de capitaux et le financement du terrorisme. </w:t>
      </w: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  <w:r>
        <w:rPr>
          <w:rFonts w:ascii="Garamond" w:hAnsi="Garamond" w:cs="Arial"/>
          <w:sz w:val="28"/>
          <w:szCs w:val="28"/>
          <w:lang w:val="fr-BE"/>
        </w:rPr>
        <w:t>Les changements apportés au cadre législatif andorran sont largement inspiré</w:t>
      </w:r>
      <w:bookmarkStart w:id="0" w:name="_GoBack"/>
      <w:bookmarkEnd w:id="0"/>
      <w:r>
        <w:rPr>
          <w:rFonts w:ascii="Garamond" w:hAnsi="Garamond" w:cs="Arial"/>
          <w:sz w:val="28"/>
          <w:szCs w:val="28"/>
          <w:lang w:val="fr-BE"/>
        </w:rPr>
        <w:t xml:space="preserve">s des dispositions de la </w:t>
      </w:r>
      <w:r>
        <w:rPr>
          <w:rFonts w:ascii="Garamond" w:hAnsi="Garamond" w:cs="Arial"/>
          <w:color w:val="0070C0"/>
          <w:sz w:val="28"/>
          <w:szCs w:val="28"/>
          <w:lang w:val="fr-BE"/>
        </w:rPr>
        <w:t xml:space="preserve">Directive européenne 2005/60/CE </w:t>
      </w:r>
      <w:r>
        <w:rPr>
          <w:rFonts w:ascii="Garamond" w:hAnsi="Garamond" w:cs="Arial"/>
          <w:sz w:val="28"/>
          <w:szCs w:val="28"/>
          <w:lang w:val="fr-BE"/>
        </w:rPr>
        <w:t>relative à la prévention de l’utilisation du système financier aux fins du blanchiment des capitaux et du financement du terrorisme et visent à mettre en œuvre les recommandations formulées lors des cycles d’évaluation du Comité d’experts sur l’évaluation des mesures de lutte contre le blanchiment des capitaux et le financement du terrorisme (</w:t>
      </w:r>
      <w:proofErr w:type="spellStart"/>
      <w:r>
        <w:rPr>
          <w:rFonts w:ascii="Garamond" w:hAnsi="Garamond" w:cs="Arial"/>
          <w:sz w:val="28"/>
          <w:szCs w:val="28"/>
          <w:lang w:val="fr-BE"/>
        </w:rPr>
        <w:t>Monyval</w:t>
      </w:r>
      <w:proofErr w:type="spellEnd"/>
      <w:r>
        <w:rPr>
          <w:rFonts w:ascii="Garamond" w:hAnsi="Garamond" w:cs="Arial"/>
          <w:sz w:val="28"/>
          <w:szCs w:val="28"/>
          <w:lang w:val="fr-BE"/>
        </w:rPr>
        <w:t xml:space="preserve">) ainsi que d’améliorer la mise en œuvre des exigences des recommandations du </w:t>
      </w:r>
      <w:r>
        <w:rPr>
          <w:rFonts w:ascii="Garamond" w:hAnsi="Garamond"/>
          <w:sz w:val="28"/>
          <w:szCs w:val="28"/>
          <w:lang w:val="fr-FR"/>
        </w:rPr>
        <w:t>Groupe d'action financière sur le blanchiment de capitaux</w:t>
      </w:r>
      <w:r>
        <w:rPr>
          <w:rFonts w:ascii="Garamond" w:hAnsi="Garamond" w:cs="Arial"/>
          <w:sz w:val="28"/>
          <w:szCs w:val="28"/>
          <w:lang w:val="fr-BE"/>
        </w:rPr>
        <w:t xml:space="preserve"> (GAFI).</w:t>
      </w: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  <w:r>
        <w:rPr>
          <w:rFonts w:ascii="Garamond" w:hAnsi="Garamond" w:cs="Arial"/>
          <w:sz w:val="28"/>
          <w:szCs w:val="28"/>
          <w:lang w:val="fr-BE"/>
        </w:rPr>
        <w:t xml:space="preserve">En juillet 2015, le Parlement andorran a approuvé une modification de la </w:t>
      </w:r>
      <w:r>
        <w:rPr>
          <w:rFonts w:ascii="Garamond" w:hAnsi="Garamond" w:cs="Arial"/>
          <w:b/>
          <w:color w:val="0070C0"/>
          <w:sz w:val="28"/>
          <w:szCs w:val="28"/>
          <w:lang w:val="fr-BE"/>
        </w:rPr>
        <w:t xml:space="preserve">Loi de Coopération Pénale Internationale et de Lutte contre le Blanchiment de fonds produit de la Délinquance Internationale et contre le financement du terrorisme (LCPI) </w:t>
      </w:r>
      <w:r>
        <w:rPr>
          <w:rFonts w:ascii="Garamond" w:hAnsi="Garamond" w:cs="Arial"/>
          <w:sz w:val="28"/>
          <w:szCs w:val="28"/>
          <w:lang w:val="fr-BE"/>
        </w:rPr>
        <w:t>ainsi qu’une modification</w:t>
      </w:r>
      <w:r>
        <w:rPr>
          <w:rFonts w:ascii="Garamond" w:hAnsi="Garamond"/>
          <w:sz w:val="28"/>
          <w:szCs w:val="28"/>
          <w:lang w:val="fr-BE"/>
        </w:rPr>
        <w:t xml:space="preserve"> de l’art. 409 du </w:t>
      </w:r>
      <w:r>
        <w:rPr>
          <w:rFonts w:ascii="Garamond" w:hAnsi="Garamond"/>
          <w:b/>
          <w:color w:val="0070C0"/>
          <w:sz w:val="28"/>
          <w:szCs w:val="28"/>
          <w:lang w:val="fr-BE"/>
        </w:rPr>
        <w:t>Code Pénal (CP)</w:t>
      </w:r>
      <w:r>
        <w:rPr>
          <w:rFonts w:ascii="Garamond" w:hAnsi="Garamond"/>
          <w:sz w:val="28"/>
          <w:szCs w:val="28"/>
          <w:lang w:val="fr-BE"/>
        </w:rPr>
        <w:t>, article d’où découle l’incrimination du blanchiment de capitaux</w:t>
      </w:r>
      <w:r>
        <w:rPr>
          <w:rStyle w:val="Refdenotaalpie"/>
          <w:rFonts w:ascii="Garamond" w:hAnsi="Garamond"/>
          <w:sz w:val="28"/>
          <w:szCs w:val="28"/>
          <w:lang w:val="fr-BE"/>
        </w:rPr>
        <w:footnoteReference w:id="1"/>
      </w:r>
      <w:r>
        <w:rPr>
          <w:rFonts w:ascii="Garamond" w:hAnsi="Garamond" w:cs="Arial"/>
          <w:sz w:val="28"/>
          <w:szCs w:val="28"/>
          <w:lang w:val="fr-BE"/>
        </w:rPr>
        <w:t xml:space="preserve">. </w:t>
      </w: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Arial"/>
          <w:sz w:val="28"/>
          <w:szCs w:val="28"/>
          <w:lang w:val="fr-BE"/>
        </w:rPr>
      </w:pPr>
      <w:r>
        <w:rPr>
          <w:rFonts w:ascii="Garamond" w:hAnsi="Garamond" w:cs="Arial"/>
          <w:sz w:val="28"/>
          <w:szCs w:val="28"/>
          <w:lang w:val="fr-BE"/>
        </w:rPr>
        <w:t>Après ces modifications, ces textes sont rédigés comme suit :</w:t>
      </w:r>
    </w:p>
    <w:p>
      <w:pPr>
        <w:jc w:val="both"/>
        <w:rPr>
          <w:rFonts w:ascii="Garamond" w:hAnsi="Garamond"/>
          <w:sz w:val="28"/>
          <w:szCs w:val="28"/>
          <w:lang w:val="fr-BE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onotapie"/>
        <w:jc w:val="both"/>
        <w:rPr>
          <w:rFonts w:ascii="Garamond" w:hAnsi="Garamond"/>
          <w:sz w:val="18"/>
          <w:szCs w:val="18"/>
        </w:rPr>
      </w:pPr>
      <w:r>
        <w:rPr>
          <w:rStyle w:val="Refdenotaalpie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fr-BE"/>
        </w:rPr>
        <w:t>Le financement du terrorisme est incriminé par le Code Pénal au titre de l’article 366 bis. L’incrimination du blanchiment de capitaux découle de l’art. 409 du Code Pénal de 2005.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4892-E3C1-417C-BC7A-DDD68E17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Rodriguez</dc:creator>
  <cp:lastModifiedBy>Arantxa Rodriguez</cp:lastModifiedBy>
  <cp:revision>9</cp:revision>
  <cp:lastPrinted>2016-05-19T16:05:00Z</cp:lastPrinted>
  <dcterms:created xsi:type="dcterms:W3CDTF">2016-05-19T09:23:00Z</dcterms:created>
  <dcterms:modified xsi:type="dcterms:W3CDTF">2016-06-13T08:46:00Z</dcterms:modified>
</cp:coreProperties>
</file>